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1832B" w14:textId="77777777" w:rsidR="004B5A3C" w:rsidRDefault="000E4DEB" w:rsidP="00A7209B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 ПО ПРАВОПРИМЕНИТЕЛЬНОЙ ПРАКТИКЕ</w:t>
      </w:r>
    </w:p>
    <w:p w14:paraId="2971D5E0" w14:textId="77777777" w:rsidR="000E4DEB" w:rsidRPr="000E4DEB" w:rsidRDefault="4163FFE6" w:rsidP="00A7209B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4163FFE6">
        <w:rPr>
          <w:rFonts w:ascii="Times New Roman" w:hAnsi="Times New Roman"/>
          <w:b/>
          <w:bCs/>
          <w:sz w:val="28"/>
          <w:szCs w:val="28"/>
        </w:rPr>
        <w:t>ПРИОКСКОГО МЕЖРЕГИОНАЛЬНОГО УПРАВЛЕНИЯ РОСПРИРОДНАДЗОРА ПО ИТОГАМ 10 МЕСЯЦЕВ 2020 ГОДА</w:t>
      </w:r>
    </w:p>
    <w:p w14:paraId="0F26B045" w14:textId="77777777" w:rsidR="4163FFE6" w:rsidRDefault="00797E21" w:rsidP="00A7209B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4163FF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4163FFE6" w:rsidRPr="4163FFE6">
        <w:rPr>
          <w:rFonts w:ascii="Times New Roman" w:hAnsi="Times New Roman"/>
          <w:b/>
          <w:bCs/>
          <w:sz w:val="28"/>
          <w:szCs w:val="28"/>
        </w:rPr>
        <w:t>(ОРЛОВСКАЯ ОБЛАСТЬ)</w:t>
      </w:r>
    </w:p>
    <w:p w14:paraId="5A44FBE4" w14:textId="77777777" w:rsidR="00797E21" w:rsidRDefault="00797E21" w:rsidP="00797E21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38035D8" w14:textId="77777777" w:rsidR="00797E21" w:rsidRDefault="00797E21" w:rsidP="00797E21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«КАК ДЕЛАТЬ НЕЛЬЗЯ»</w:t>
      </w:r>
    </w:p>
    <w:p w14:paraId="089E550C" w14:textId="77777777" w:rsidR="004B5A3C" w:rsidRDefault="004B5A3C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315BF7" w14:textId="77777777" w:rsidR="004B5A3C" w:rsidRDefault="004B5A3C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Приокское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межрегиональное управление Росприроднадзора в соответствии с Федеральным законом </w:t>
      </w:r>
      <w:r w:rsidRPr="009E34D0">
        <w:rPr>
          <w:rFonts w:ascii="Times New Roman" w:hAnsi="Times New Roman"/>
          <w:sz w:val="28"/>
          <w:szCs w:val="28"/>
        </w:rPr>
        <w:t>от 10.01.2002 № 7-ФЗ «Об охране окружающей среды»</w:t>
      </w:r>
      <w:r>
        <w:rPr>
          <w:rFonts w:ascii="Times New Roman" w:hAnsi="Times New Roman"/>
          <w:sz w:val="28"/>
          <w:szCs w:val="28"/>
        </w:rPr>
        <w:t xml:space="preserve"> и Положением о федеральном государственном экологическом</w:t>
      </w:r>
      <w:r w:rsidR="000E4DEB">
        <w:rPr>
          <w:rFonts w:ascii="Times New Roman" w:hAnsi="Times New Roman"/>
          <w:sz w:val="28"/>
          <w:szCs w:val="28"/>
        </w:rPr>
        <w:t xml:space="preserve"> надзоре осуществляет федеральный государственный экологический надзор на объектах, оказывающих негативное воздействие на окружающую среду и включенных в утвержденный уполномоченным Правительством Российской Федерации федеральным органом перечень.</w:t>
      </w:r>
    </w:p>
    <w:p w14:paraId="29A1EBD2" w14:textId="77777777" w:rsidR="000E4DEB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>Перечень объектов, подлежащих федеральному государственному экологическому надзору, определяется на основании критериев, которые утверждены постановлением Правительством Российской Федерации от 28 августа 2015 года № 903.</w:t>
      </w:r>
    </w:p>
    <w:p w14:paraId="43E0B001" w14:textId="77777777"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CCF29A" w14:textId="77777777" w:rsidR="7EA08824" w:rsidRDefault="7EA08824" w:rsidP="00A244BC">
      <w:pPr>
        <w:pStyle w:val="a3"/>
        <w:widowControl w:val="0"/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7EA08824">
        <w:rPr>
          <w:rFonts w:ascii="Times New Roman" w:hAnsi="Times New Roman"/>
          <w:b/>
          <w:bCs/>
          <w:sz w:val="28"/>
          <w:szCs w:val="28"/>
        </w:rPr>
        <w:t>Информация о типовых и массовых нарушениях обязательных требований с возможными мероприятиями по их устранению</w:t>
      </w:r>
    </w:p>
    <w:p w14:paraId="5A83C86C" w14:textId="77777777" w:rsidR="7EA08824" w:rsidRDefault="7EA08824" w:rsidP="00A244BC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7EA08824">
        <w:rPr>
          <w:rFonts w:ascii="Times New Roman" w:hAnsi="Times New Roman"/>
          <w:b/>
          <w:bCs/>
          <w:sz w:val="28"/>
          <w:szCs w:val="28"/>
        </w:rPr>
        <w:t>(за 10 месяцев 2020 года)</w:t>
      </w:r>
    </w:p>
    <w:p w14:paraId="0CACC635" w14:textId="77777777"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3C931A" w14:textId="77777777" w:rsidR="7EA08824" w:rsidRDefault="7EA08824" w:rsidP="00A244BC">
      <w:pPr>
        <w:widowControl w:val="0"/>
        <w:suppressAutoHyphens w:val="0"/>
        <w:spacing w:after="0" w:line="240" w:lineRule="auto"/>
        <w:ind w:right="-15"/>
        <w:jc w:val="center"/>
        <w:rPr>
          <w:rFonts w:ascii="Times New Roman" w:hAnsi="Times New Roman"/>
          <w:i/>
          <w:iCs/>
          <w:sz w:val="28"/>
          <w:szCs w:val="28"/>
        </w:rPr>
      </w:pPr>
      <w:r w:rsidRPr="7EA08824">
        <w:rPr>
          <w:rFonts w:ascii="Times New Roman" w:hAnsi="Times New Roman"/>
          <w:i/>
          <w:iCs/>
          <w:sz w:val="28"/>
          <w:szCs w:val="28"/>
        </w:rPr>
        <w:t>Государственный надзор в области</w:t>
      </w:r>
      <w:r>
        <w:br/>
      </w:r>
      <w:r w:rsidRPr="7EA08824">
        <w:rPr>
          <w:rFonts w:ascii="Times New Roman" w:hAnsi="Times New Roman"/>
          <w:i/>
          <w:iCs/>
          <w:sz w:val="28"/>
          <w:szCs w:val="28"/>
        </w:rPr>
        <w:t>использования и охраны водных объектов</w:t>
      </w:r>
    </w:p>
    <w:p w14:paraId="3DE440F6" w14:textId="77777777" w:rsidR="7EA08824" w:rsidRPr="00BF1472" w:rsidRDefault="7EA08824" w:rsidP="00A244BC">
      <w:pPr>
        <w:widowControl w:val="0"/>
        <w:suppressAutoHyphens w:val="0"/>
        <w:spacing w:after="0" w:line="240" w:lineRule="auto"/>
        <w:ind w:right="-15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89CE226" w14:textId="77777777"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>К числу типовых и массовых нарушений обязательных требований природоохранного законодательства, выявляемых при осуществлении государственного надзора в области использования и охраны водных объектов, можно отнести:</w:t>
      </w:r>
    </w:p>
    <w:p w14:paraId="359CC244" w14:textId="77777777" w:rsidR="7EA08824" w:rsidRDefault="7EA08824" w:rsidP="00A244BC">
      <w:pPr>
        <w:pStyle w:val="a3"/>
        <w:widowControl w:val="0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>несоблюдение установленных нормативов допустимых сбросов загрязняющих веществ в составе сточных вод;</w:t>
      </w:r>
    </w:p>
    <w:p w14:paraId="59D58B49" w14:textId="77777777" w:rsidR="7EA08824" w:rsidRDefault="7EA08824" w:rsidP="00A244BC">
      <w:pPr>
        <w:pStyle w:val="a3"/>
        <w:widowControl w:val="0"/>
        <w:numPr>
          <w:ilvl w:val="0"/>
          <w:numId w:val="3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>отсутствие разрешительных документов на право пользования водным объектом;</w:t>
      </w:r>
    </w:p>
    <w:p w14:paraId="704D4E87" w14:textId="77777777" w:rsidR="7EA08824" w:rsidRDefault="7EA08824" w:rsidP="00A244BC">
      <w:pPr>
        <w:pStyle w:val="a3"/>
        <w:widowControl w:val="0"/>
        <w:numPr>
          <w:ilvl w:val="0"/>
          <w:numId w:val="3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>нарушение условий Решения о предоставлении водного объекта в пользование;</w:t>
      </w:r>
    </w:p>
    <w:p w14:paraId="60CA772B" w14:textId="77777777" w:rsidR="7EA08824" w:rsidRDefault="7EA08824" w:rsidP="00A244BC">
      <w:pPr>
        <w:pStyle w:val="a3"/>
        <w:widowControl w:val="0"/>
        <w:numPr>
          <w:ilvl w:val="0"/>
          <w:numId w:val="3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>несоблюдение экологических требований при эксплуатации предприятий;</w:t>
      </w:r>
    </w:p>
    <w:p w14:paraId="524A9CA3" w14:textId="77777777" w:rsidR="7EA08824" w:rsidRDefault="7EA08824" w:rsidP="00A244BC">
      <w:pPr>
        <w:pStyle w:val="a3"/>
        <w:widowControl w:val="0"/>
        <w:numPr>
          <w:ilvl w:val="0"/>
          <w:numId w:val="3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>нарушение Порядка ведения учёта объёма сброса сточных вод в водный объект;</w:t>
      </w:r>
    </w:p>
    <w:p w14:paraId="13680843" w14:textId="77777777" w:rsidR="7EA08824" w:rsidRDefault="7EA08824" w:rsidP="00A244BC">
      <w:pPr>
        <w:pStyle w:val="a3"/>
        <w:widowControl w:val="0"/>
        <w:numPr>
          <w:ilvl w:val="0"/>
          <w:numId w:val="3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>невыполнение ранее выданных предписаний.</w:t>
      </w:r>
    </w:p>
    <w:p w14:paraId="1911AD29" w14:textId="77777777" w:rsidR="7EA08824" w:rsidRPr="00BF1472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62CC7EC" w14:textId="77777777" w:rsidR="7EA08824" w:rsidRDefault="7EA08824" w:rsidP="00A244BC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7EA08824">
        <w:rPr>
          <w:rFonts w:ascii="Times New Roman" w:hAnsi="Times New Roman"/>
          <w:i/>
          <w:iCs/>
          <w:sz w:val="28"/>
          <w:szCs w:val="28"/>
        </w:rPr>
        <w:t xml:space="preserve">Государственный надзор в </w:t>
      </w:r>
      <w:proofErr w:type="gramStart"/>
      <w:r w:rsidRPr="7EA08824">
        <w:rPr>
          <w:rFonts w:ascii="Times New Roman" w:hAnsi="Times New Roman"/>
          <w:i/>
          <w:iCs/>
          <w:sz w:val="28"/>
          <w:szCs w:val="28"/>
        </w:rPr>
        <w:t>области  охраны</w:t>
      </w:r>
      <w:proofErr w:type="gramEnd"/>
      <w:r w:rsidRPr="7EA08824">
        <w:rPr>
          <w:rFonts w:ascii="Times New Roman" w:hAnsi="Times New Roman"/>
          <w:i/>
          <w:iCs/>
          <w:sz w:val="28"/>
          <w:szCs w:val="28"/>
        </w:rPr>
        <w:t xml:space="preserve"> атмосферного воздуха</w:t>
      </w:r>
    </w:p>
    <w:p w14:paraId="0EFE9443" w14:textId="77777777" w:rsidR="7EA08824" w:rsidRPr="00BF1472" w:rsidRDefault="7EA08824" w:rsidP="00A244BC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578A748D" w14:textId="77777777"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>К типовым и массовым нарушениям относятся такие нарушения, как:</w:t>
      </w:r>
    </w:p>
    <w:p w14:paraId="75A6377C" w14:textId="77777777" w:rsidR="7EA08824" w:rsidRDefault="7EA08824" w:rsidP="00A244BC">
      <w:pPr>
        <w:pStyle w:val="a3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>не проведение или искажение данных инвентаризации выбросов;</w:t>
      </w:r>
    </w:p>
    <w:p w14:paraId="04AB9054" w14:textId="77777777" w:rsidR="7EA08824" w:rsidRDefault="7EA08824" w:rsidP="00A244BC">
      <w:pPr>
        <w:pStyle w:val="a3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lastRenderedPageBreak/>
        <w:t>отсутствие нормативов выбросов;</w:t>
      </w:r>
    </w:p>
    <w:p w14:paraId="44CC98CB" w14:textId="77777777" w:rsidR="7EA08824" w:rsidRDefault="7EA08824" w:rsidP="00A244BC">
      <w:pPr>
        <w:pStyle w:val="a3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>не проведение или неполное проведение производственного контроля;</w:t>
      </w:r>
    </w:p>
    <w:p w14:paraId="780E7903" w14:textId="77777777" w:rsidR="7EA08824" w:rsidRDefault="7EA08824" w:rsidP="00A244BC">
      <w:pPr>
        <w:pStyle w:val="a3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>невыполнение ранее выданных предписаний;</w:t>
      </w:r>
    </w:p>
    <w:p w14:paraId="5E455D0D" w14:textId="77777777" w:rsidR="7EA08824" w:rsidRDefault="7EA08824" w:rsidP="00A244BC">
      <w:pPr>
        <w:pStyle w:val="a3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>превышение нормативов ПДВ.</w:t>
      </w:r>
    </w:p>
    <w:p w14:paraId="260FAA65" w14:textId="77777777" w:rsidR="7EA08824" w:rsidRPr="00BF1472" w:rsidRDefault="7EA08824" w:rsidP="00A244BC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08A308" w14:textId="77777777" w:rsidR="7EA08824" w:rsidRDefault="7EA08824" w:rsidP="00A244BC">
      <w:pPr>
        <w:widowControl w:val="0"/>
        <w:suppressAutoHyphens w:val="0"/>
        <w:spacing w:after="0"/>
        <w:jc w:val="center"/>
        <w:rPr>
          <w:i/>
          <w:iCs/>
          <w:sz w:val="28"/>
          <w:szCs w:val="28"/>
        </w:rPr>
      </w:pPr>
      <w:r w:rsidRPr="7EA08824">
        <w:rPr>
          <w:rFonts w:ascii="Times New Roman" w:hAnsi="Times New Roman"/>
          <w:i/>
          <w:iCs/>
          <w:sz w:val="28"/>
          <w:szCs w:val="28"/>
        </w:rPr>
        <w:t>Государственный надзор за геологическим изучением, рациональным использованием и охраной недр</w:t>
      </w:r>
    </w:p>
    <w:p w14:paraId="6063488A" w14:textId="77777777" w:rsidR="7EA08824" w:rsidRPr="00BF1472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5BE2BFC8" w14:textId="77777777"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 xml:space="preserve">Типовые нарушения в области охраны недр характерны как для субъектов малого предпринимательства, так и для крупных предприятий: </w:t>
      </w:r>
    </w:p>
    <w:p w14:paraId="24E439D8" w14:textId="77777777"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</w:pPr>
      <w:r w:rsidRPr="7EA08824">
        <w:rPr>
          <w:rFonts w:ascii="Times New Roman" w:hAnsi="Times New Roman"/>
          <w:sz w:val="28"/>
          <w:szCs w:val="28"/>
        </w:rPr>
        <w:t>- безлицензионное пользование недрами;</w:t>
      </w:r>
    </w:p>
    <w:p w14:paraId="628BD34E" w14:textId="77777777"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</w:pPr>
      <w:r w:rsidRPr="7EA08824">
        <w:rPr>
          <w:rFonts w:ascii="Times New Roman" w:hAnsi="Times New Roman"/>
          <w:sz w:val="28"/>
          <w:szCs w:val="28"/>
        </w:rPr>
        <w:t>- невыполнение ранее выданных предписаний;</w:t>
      </w:r>
    </w:p>
    <w:p w14:paraId="29364E40" w14:textId="77777777"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</w:pPr>
      <w:r w:rsidRPr="7EA08824">
        <w:rPr>
          <w:rFonts w:ascii="Times New Roman" w:hAnsi="Times New Roman"/>
          <w:sz w:val="28"/>
          <w:szCs w:val="28"/>
        </w:rPr>
        <w:t>- нарушения условий пользования недрами.</w:t>
      </w:r>
    </w:p>
    <w:p w14:paraId="2364AAD8" w14:textId="77777777"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</w:pPr>
      <w:r w:rsidRPr="7EA08824">
        <w:rPr>
          <w:rFonts w:ascii="Times New Roman" w:hAnsi="Times New Roman"/>
          <w:sz w:val="28"/>
          <w:szCs w:val="28"/>
        </w:rPr>
        <w:t>В Роснедра направлены 3 материала о результатах проверок, выявленных нарушений условий пользования недрами, являющимися основанием для досрочного прекращения, приостановления или ограничения права п</w:t>
      </w:r>
      <w:r w:rsidR="00A47825">
        <w:rPr>
          <w:rFonts w:ascii="Times New Roman" w:hAnsi="Times New Roman"/>
          <w:sz w:val="28"/>
          <w:szCs w:val="28"/>
        </w:rPr>
        <w:t>ользования участками недр (МУП «</w:t>
      </w:r>
      <w:proofErr w:type="spellStart"/>
      <w:r w:rsidR="00A47825">
        <w:rPr>
          <w:rFonts w:ascii="Times New Roman" w:hAnsi="Times New Roman"/>
          <w:sz w:val="28"/>
          <w:szCs w:val="28"/>
        </w:rPr>
        <w:t>Тепловодсервис</w:t>
      </w:r>
      <w:proofErr w:type="spellEnd"/>
      <w:r w:rsidR="00A47825">
        <w:rPr>
          <w:rFonts w:ascii="Times New Roman" w:hAnsi="Times New Roman"/>
          <w:sz w:val="28"/>
          <w:szCs w:val="28"/>
        </w:rPr>
        <w:t>» г. Новосиль, МУП «</w:t>
      </w:r>
      <w:proofErr w:type="spellStart"/>
      <w:r w:rsidRPr="7EA08824">
        <w:rPr>
          <w:rFonts w:ascii="Times New Roman" w:hAnsi="Times New Roman"/>
          <w:sz w:val="28"/>
          <w:szCs w:val="28"/>
        </w:rPr>
        <w:t>Жилводоканалсервис</w:t>
      </w:r>
      <w:proofErr w:type="spellEnd"/>
      <w:r w:rsidR="00A47825">
        <w:rPr>
          <w:rFonts w:ascii="Times New Roman" w:hAnsi="Times New Roman"/>
          <w:sz w:val="28"/>
          <w:szCs w:val="28"/>
        </w:rPr>
        <w:t>» п. Верховье, ОАО «</w:t>
      </w:r>
      <w:r w:rsidRPr="7EA08824">
        <w:rPr>
          <w:rFonts w:ascii="Times New Roman" w:hAnsi="Times New Roman"/>
          <w:sz w:val="28"/>
          <w:szCs w:val="28"/>
        </w:rPr>
        <w:t>Мценский литейный завод</w:t>
      </w:r>
      <w:r w:rsidR="00A47825">
        <w:rPr>
          <w:rFonts w:ascii="Times New Roman" w:hAnsi="Times New Roman"/>
          <w:sz w:val="28"/>
          <w:szCs w:val="28"/>
        </w:rPr>
        <w:t>»</w:t>
      </w:r>
      <w:r w:rsidRPr="7EA08824">
        <w:rPr>
          <w:rFonts w:ascii="Times New Roman" w:hAnsi="Times New Roman"/>
          <w:sz w:val="28"/>
          <w:szCs w:val="28"/>
        </w:rPr>
        <w:t xml:space="preserve">), </w:t>
      </w:r>
      <w:r w:rsidRPr="00BF1472">
        <w:rPr>
          <w:rFonts w:ascii="Times New Roman" w:hAnsi="Times New Roman"/>
          <w:sz w:val="28"/>
          <w:szCs w:val="28"/>
        </w:rPr>
        <w:t>в органы МВД – направлен 1 материал по самовольному пользованию недрами (ЗАО «Славянское»).</w:t>
      </w:r>
    </w:p>
    <w:p w14:paraId="67FADFC8" w14:textId="77777777" w:rsidR="7EA08824" w:rsidRPr="00080F5B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E67E828" w14:textId="77777777" w:rsidR="7EA08824" w:rsidRDefault="7EA08824" w:rsidP="00A244BC">
      <w:pPr>
        <w:widowControl w:val="0"/>
        <w:suppressAutoHyphens w:val="0"/>
        <w:spacing w:after="0"/>
        <w:jc w:val="center"/>
        <w:rPr>
          <w:i/>
          <w:iCs/>
          <w:sz w:val="28"/>
          <w:szCs w:val="28"/>
        </w:rPr>
      </w:pPr>
      <w:r w:rsidRPr="7EA08824">
        <w:rPr>
          <w:rFonts w:ascii="Times New Roman" w:hAnsi="Times New Roman"/>
          <w:i/>
          <w:iCs/>
          <w:sz w:val="28"/>
          <w:szCs w:val="28"/>
        </w:rPr>
        <w:t>Государственный надзор в области обращения с отходами</w:t>
      </w:r>
    </w:p>
    <w:p w14:paraId="1341FA9C" w14:textId="77777777" w:rsidR="7EA08824" w:rsidRPr="00080F5B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537EF5D" w14:textId="77777777"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>Среди типовых нарушений в области обращения с отходами можно выделить:</w:t>
      </w:r>
    </w:p>
    <w:p w14:paraId="2DE6A192" w14:textId="77777777"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</w:pPr>
      <w:r w:rsidRPr="7EA08824">
        <w:rPr>
          <w:rFonts w:ascii="Times New Roman" w:hAnsi="Times New Roman"/>
          <w:sz w:val="28"/>
          <w:szCs w:val="28"/>
        </w:rPr>
        <w:t>- несанкционированное размещение отходов;</w:t>
      </w:r>
    </w:p>
    <w:p w14:paraId="03D12F44" w14:textId="77777777"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</w:pPr>
      <w:r w:rsidRPr="7EA08824">
        <w:rPr>
          <w:rFonts w:ascii="Times New Roman" w:hAnsi="Times New Roman"/>
          <w:sz w:val="28"/>
          <w:szCs w:val="28"/>
        </w:rPr>
        <w:t>- непредставление или искажение данных отчетной документации;</w:t>
      </w:r>
    </w:p>
    <w:p w14:paraId="0B0EF349" w14:textId="77777777"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</w:pPr>
      <w:r w:rsidRPr="7EA08824">
        <w:rPr>
          <w:rFonts w:ascii="Times New Roman" w:hAnsi="Times New Roman"/>
          <w:sz w:val="28"/>
          <w:szCs w:val="28"/>
        </w:rPr>
        <w:t>- отсутствие или ненадлежащее ведение учёта в области обращения с отходами;</w:t>
      </w:r>
    </w:p>
    <w:p w14:paraId="5797F81B" w14:textId="77777777"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</w:pPr>
      <w:r w:rsidRPr="7EA08824">
        <w:rPr>
          <w:rFonts w:ascii="Times New Roman" w:hAnsi="Times New Roman"/>
          <w:sz w:val="28"/>
          <w:szCs w:val="28"/>
        </w:rPr>
        <w:t xml:space="preserve"> - отсутствие установленных нормативов образования отходов и лимитов на их размещение;</w:t>
      </w:r>
    </w:p>
    <w:p w14:paraId="7C1613AC" w14:textId="77777777"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</w:pPr>
      <w:r w:rsidRPr="7EA08824">
        <w:rPr>
          <w:rFonts w:ascii="Times New Roman" w:hAnsi="Times New Roman"/>
          <w:sz w:val="28"/>
          <w:szCs w:val="28"/>
        </w:rPr>
        <w:t>- несоблюдение требований при обращении с отходами животноводства;</w:t>
      </w:r>
    </w:p>
    <w:p w14:paraId="75FDB4F4" w14:textId="77777777"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</w:pPr>
      <w:r w:rsidRPr="7EA08824">
        <w:rPr>
          <w:rFonts w:ascii="Times New Roman" w:hAnsi="Times New Roman"/>
          <w:sz w:val="28"/>
          <w:szCs w:val="28"/>
        </w:rPr>
        <w:t>- невыполнение ранее выданных предписаний;</w:t>
      </w:r>
    </w:p>
    <w:p w14:paraId="2113DE11" w14:textId="77777777"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</w:pPr>
      <w:r w:rsidRPr="7EA08824">
        <w:rPr>
          <w:rFonts w:ascii="Times New Roman" w:hAnsi="Times New Roman"/>
          <w:sz w:val="28"/>
          <w:szCs w:val="28"/>
        </w:rPr>
        <w:t>- сброс отходов на почву.</w:t>
      </w:r>
    </w:p>
    <w:p w14:paraId="123AFB89" w14:textId="77777777" w:rsidR="7EA08824" w:rsidRPr="00080F5B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BD06393" w14:textId="77777777" w:rsidR="7EA08824" w:rsidRDefault="7EA08824" w:rsidP="00A244BC">
      <w:pPr>
        <w:pStyle w:val="a3"/>
        <w:widowControl w:val="0"/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7EA08824">
        <w:rPr>
          <w:rFonts w:ascii="Times New Roman" w:hAnsi="Times New Roman"/>
          <w:b/>
          <w:bCs/>
          <w:sz w:val="28"/>
          <w:szCs w:val="28"/>
        </w:rPr>
        <w:t>Информация о проведенных в отношении подконтрольных лиц проверках и иных мероприятиях по контролю</w:t>
      </w:r>
    </w:p>
    <w:p w14:paraId="0488F013" w14:textId="77777777" w:rsidR="7EA08824" w:rsidRPr="00080F5B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46EAB26" w14:textId="77777777" w:rsidR="000E4DEB" w:rsidRDefault="4163FFE6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4163FFE6">
        <w:rPr>
          <w:rFonts w:ascii="Times New Roman" w:hAnsi="Times New Roman"/>
          <w:sz w:val="28"/>
          <w:szCs w:val="28"/>
        </w:rPr>
        <w:t>На 2020 год было запланировано проведение 31 проверки юридических лиц и индивидуальных предпринимателей.</w:t>
      </w:r>
    </w:p>
    <w:p w14:paraId="74A884A7" w14:textId="77777777" w:rsidR="00C14B20" w:rsidRPr="00C14B20" w:rsidRDefault="4163FFE6" w:rsidP="00A244BC">
      <w:pPr>
        <w:widowControl w:val="0"/>
        <w:suppressAutoHyphens w:val="0"/>
        <w:spacing w:after="0" w:line="200" w:lineRule="atLeast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4163FFE6">
        <w:rPr>
          <w:rFonts w:ascii="Times New Roman" w:hAnsi="Times New Roman"/>
          <w:sz w:val="28"/>
          <w:szCs w:val="28"/>
        </w:rPr>
        <w:t xml:space="preserve">Однако, в связи с коронавирусной инфекцией, Председателем Правительства Российской Федерации </w:t>
      </w:r>
      <w:proofErr w:type="spellStart"/>
      <w:r w:rsidRPr="4163FFE6">
        <w:rPr>
          <w:rFonts w:ascii="Times New Roman" w:hAnsi="Times New Roman"/>
          <w:sz w:val="28"/>
          <w:szCs w:val="28"/>
        </w:rPr>
        <w:t>Мишустиным</w:t>
      </w:r>
      <w:proofErr w:type="spellEnd"/>
      <w:r w:rsidRPr="4163FFE6">
        <w:rPr>
          <w:rFonts w:ascii="Times New Roman" w:hAnsi="Times New Roman"/>
          <w:sz w:val="28"/>
          <w:szCs w:val="28"/>
        </w:rPr>
        <w:t xml:space="preserve"> М.В. федеральным органам власти поручено приостановить назначение проверок, проводимых 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характера.</w:t>
      </w:r>
    </w:p>
    <w:p w14:paraId="7FF5EF2E" w14:textId="77777777" w:rsidR="00474B26" w:rsidRDefault="4163FFE6" w:rsidP="00A244BC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4163FFE6">
        <w:rPr>
          <w:rFonts w:ascii="Times New Roman" w:hAnsi="Times New Roman"/>
          <w:sz w:val="28"/>
          <w:szCs w:val="28"/>
        </w:rPr>
        <w:lastRenderedPageBreak/>
        <w:t xml:space="preserve">Таким образом, в связи со сложившимися обстоятельствами за 10 месяцев 2020 года проведено только 8 плановых проверок в отношении следующих предприятий: </w:t>
      </w:r>
    </w:p>
    <w:p w14:paraId="18E5A2F0" w14:textId="77777777" w:rsidR="00474B26" w:rsidRDefault="00A47825" w:rsidP="00A244BC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СПК «</w:t>
      </w:r>
      <w:r w:rsidR="4163FFE6" w:rsidRPr="4163FFE6">
        <w:rPr>
          <w:rFonts w:ascii="Times New Roman" w:hAnsi="Times New Roman"/>
          <w:sz w:val="28"/>
          <w:szCs w:val="28"/>
        </w:rPr>
        <w:t>Заря Мира</w:t>
      </w:r>
      <w:r>
        <w:rPr>
          <w:rFonts w:ascii="Times New Roman" w:hAnsi="Times New Roman"/>
          <w:sz w:val="28"/>
          <w:szCs w:val="28"/>
        </w:rPr>
        <w:t>»</w:t>
      </w:r>
      <w:r w:rsidR="4163FFE6" w:rsidRPr="4163FFE6">
        <w:rPr>
          <w:rFonts w:ascii="Times New Roman" w:hAnsi="Times New Roman"/>
          <w:sz w:val="28"/>
          <w:szCs w:val="28"/>
        </w:rPr>
        <w:t xml:space="preserve">; </w:t>
      </w:r>
    </w:p>
    <w:p w14:paraId="3CA881F7" w14:textId="77777777" w:rsidR="00474B26" w:rsidRDefault="00A47825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</w:t>
      </w:r>
      <w:proofErr w:type="spellStart"/>
      <w:r>
        <w:rPr>
          <w:rFonts w:ascii="Times New Roman" w:hAnsi="Times New Roman"/>
          <w:sz w:val="28"/>
          <w:szCs w:val="28"/>
        </w:rPr>
        <w:t>Жилводоканалсервис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4163FFE6" w:rsidRPr="4163FFE6">
        <w:rPr>
          <w:rFonts w:ascii="Times New Roman" w:hAnsi="Times New Roman"/>
          <w:sz w:val="28"/>
          <w:szCs w:val="28"/>
        </w:rPr>
        <w:t xml:space="preserve"> п. Верховье;</w:t>
      </w:r>
    </w:p>
    <w:p w14:paraId="278EC416" w14:textId="77777777" w:rsidR="00474B26" w:rsidRDefault="00A47825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 «</w:t>
      </w:r>
      <w:r w:rsidR="4163FFE6" w:rsidRPr="4163FFE6">
        <w:rPr>
          <w:rFonts w:ascii="Times New Roman" w:hAnsi="Times New Roman"/>
          <w:sz w:val="28"/>
          <w:szCs w:val="28"/>
        </w:rPr>
        <w:t xml:space="preserve">Орловская </w:t>
      </w:r>
      <w:proofErr w:type="spellStart"/>
      <w:r w:rsidR="4163FFE6" w:rsidRPr="4163FFE6">
        <w:rPr>
          <w:rFonts w:ascii="Times New Roman" w:hAnsi="Times New Roman"/>
          <w:sz w:val="28"/>
          <w:szCs w:val="28"/>
        </w:rPr>
        <w:t>биофабрика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4163FFE6" w:rsidRPr="4163FFE6">
        <w:rPr>
          <w:rFonts w:ascii="Times New Roman" w:hAnsi="Times New Roman"/>
          <w:sz w:val="28"/>
          <w:szCs w:val="28"/>
        </w:rPr>
        <w:t>;</w:t>
      </w:r>
    </w:p>
    <w:p w14:paraId="2B05544A" w14:textId="77777777" w:rsidR="00474B26" w:rsidRDefault="4163FFE6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4163FFE6">
        <w:rPr>
          <w:rFonts w:ascii="Times New Roman" w:hAnsi="Times New Roman"/>
          <w:sz w:val="28"/>
          <w:szCs w:val="28"/>
        </w:rPr>
        <w:t xml:space="preserve">ЗАО </w:t>
      </w:r>
      <w:r w:rsidR="00A47825">
        <w:rPr>
          <w:rFonts w:ascii="Times New Roman" w:hAnsi="Times New Roman"/>
          <w:sz w:val="28"/>
          <w:szCs w:val="28"/>
        </w:rPr>
        <w:t>«</w:t>
      </w:r>
      <w:r w:rsidRPr="4163FFE6">
        <w:rPr>
          <w:rFonts w:ascii="Times New Roman" w:hAnsi="Times New Roman"/>
          <w:sz w:val="28"/>
          <w:szCs w:val="28"/>
        </w:rPr>
        <w:t>Славянское</w:t>
      </w:r>
      <w:r w:rsidR="00A47825">
        <w:rPr>
          <w:rFonts w:ascii="Times New Roman" w:hAnsi="Times New Roman"/>
          <w:sz w:val="28"/>
          <w:szCs w:val="28"/>
        </w:rPr>
        <w:t>»</w:t>
      </w:r>
      <w:r w:rsidRPr="4163FFE6">
        <w:rPr>
          <w:rFonts w:ascii="Times New Roman" w:hAnsi="Times New Roman"/>
          <w:sz w:val="28"/>
          <w:szCs w:val="28"/>
        </w:rPr>
        <w:t>;</w:t>
      </w:r>
    </w:p>
    <w:p w14:paraId="067F5BA0" w14:textId="77777777" w:rsidR="00474B26" w:rsidRDefault="00A47825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 «</w:t>
      </w:r>
      <w:r w:rsidR="4163FFE6" w:rsidRPr="4163FFE6">
        <w:rPr>
          <w:rFonts w:ascii="Times New Roman" w:hAnsi="Times New Roman"/>
          <w:sz w:val="28"/>
          <w:szCs w:val="28"/>
        </w:rPr>
        <w:t>РФК</w:t>
      </w:r>
      <w:r>
        <w:rPr>
          <w:rFonts w:ascii="Times New Roman" w:hAnsi="Times New Roman"/>
          <w:sz w:val="28"/>
          <w:szCs w:val="28"/>
        </w:rPr>
        <w:t>»</w:t>
      </w:r>
      <w:r w:rsidR="4163FFE6" w:rsidRPr="4163FFE6">
        <w:rPr>
          <w:rFonts w:ascii="Times New Roman" w:hAnsi="Times New Roman"/>
          <w:sz w:val="28"/>
          <w:szCs w:val="28"/>
        </w:rPr>
        <w:t>;</w:t>
      </w:r>
    </w:p>
    <w:p w14:paraId="5EEABA34" w14:textId="77777777" w:rsidR="00474B26" w:rsidRDefault="4163FFE6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4163FFE6">
        <w:rPr>
          <w:rFonts w:ascii="Times New Roman" w:hAnsi="Times New Roman"/>
          <w:sz w:val="28"/>
          <w:szCs w:val="28"/>
        </w:rPr>
        <w:t xml:space="preserve">ООО </w:t>
      </w:r>
      <w:r w:rsidR="00A47825">
        <w:rPr>
          <w:rFonts w:ascii="Times New Roman" w:hAnsi="Times New Roman"/>
          <w:sz w:val="28"/>
          <w:szCs w:val="28"/>
        </w:rPr>
        <w:t>«</w:t>
      </w:r>
      <w:proofErr w:type="spellStart"/>
      <w:r w:rsidRPr="4163FFE6">
        <w:rPr>
          <w:rFonts w:ascii="Times New Roman" w:hAnsi="Times New Roman"/>
          <w:sz w:val="28"/>
          <w:szCs w:val="28"/>
        </w:rPr>
        <w:t>Керама</w:t>
      </w:r>
      <w:proofErr w:type="spellEnd"/>
      <w:r w:rsidRPr="4163FF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4163FFE6">
        <w:rPr>
          <w:rFonts w:ascii="Times New Roman" w:hAnsi="Times New Roman"/>
          <w:sz w:val="28"/>
          <w:szCs w:val="28"/>
        </w:rPr>
        <w:t>Марацци</w:t>
      </w:r>
      <w:proofErr w:type="spellEnd"/>
      <w:r w:rsidR="00A47825">
        <w:rPr>
          <w:rFonts w:ascii="Times New Roman" w:hAnsi="Times New Roman"/>
          <w:sz w:val="28"/>
          <w:szCs w:val="28"/>
        </w:rPr>
        <w:t>»</w:t>
      </w:r>
      <w:r w:rsidRPr="4163FFE6">
        <w:rPr>
          <w:rFonts w:ascii="Times New Roman" w:hAnsi="Times New Roman"/>
          <w:sz w:val="28"/>
          <w:szCs w:val="28"/>
        </w:rPr>
        <w:t>;</w:t>
      </w:r>
    </w:p>
    <w:p w14:paraId="6DF635C1" w14:textId="77777777" w:rsidR="00474B26" w:rsidRDefault="00A47825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</w:t>
      </w:r>
      <w:r w:rsidR="4163FFE6" w:rsidRPr="4163FFE6">
        <w:rPr>
          <w:rFonts w:ascii="Times New Roman" w:hAnsi="Times New Roman"/>
          <w:sz w:val="28"/>
          <w:szCs w:val="28"/>
        </w:rPr>
        <w:t>Водоканал</w:t>
      </w:r>
      <w:r>
        <w:rPr>
          <w:rFonts w:ascii="Times New Roman" w:hAnsi="Times New Roman"/>
          <w:sz w:val="28"/>
          <w:szCs w:val="28"/>
        </w:rPr>
        <w:t>»</w:t>
      </w:r>
      <w:r w:rsidR="4163FFE6" w:rsidRPr="4163FFE6">
        <w:rPr>
          <w:rFonts w:ascii="Times New Roman" w:hAnsi="Times New Roman"/>
          <w:sz w:val="28"/>
          <w:szCs w:val="28"/>
        </w:rPr>
        <w:t xml:space="preserve"> г. Мценска;</w:t>
      </w:r>
    </w:p>
    <w:p w14:paraId="1979174A" w14:textId="77777777" w:rsidR="00474B26" w:rsidRDefault="00A47825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</w:t>
      </w:r>
      <w:r w:rsidR="4163FFE6" w:rsidRPr="4163FFE6">
        <w:rPr>
          <w:rFonts w:ascii="Times New Roman" w:hAnsi="Times New Roman"/>
          <w:sz w:val="28"/>
          <w:szCs w:val="28"/>
        </w:rPr>
        <w:t>Мценский литейный завод</w:t>
      </w:r>
      <w:r>
        <w:rPr>
          <w:rFonts w:ascii="Times New Roman" w:hAnsi="Times New Roman"/>
          <w:sz w:val="28"/>
          <w:szCs w:val="28"/>
        </w:rPr>
        <w:t>»</w:t>
      </w:r>
      <w:r w:rsidR="4163FFE6" w:rsidRPr="4163FFE6">
        <w:rPr>
          <w:rFonts w:ascii="Times New Roman" w:hAnsi="Times New Roman"/>
          <w:sz w:val="28"/>
          <w:szCs w:val="28"/>
        </w:rPr>
        <w:t>.</w:t>
      </w:r>
    </w:p>
    <w:p w14:paraId="557F3432" w14:textId="77777777" w:rsidR="004B5A3C" w:rsidRPr="00080F5B" w:rsidRDefault="004B5A3C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C02327E" w14:textId="77777777" w:rsidR="00A46ABD" w:rsidRDefault="4163FFE6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4163FFE6">
        <w:rPr>
          <w:rFonts w:ascii="Times New Roman" w:hAnsi="Times New Roman"/>
          <w:sz w:val="28"/>
          <w:szCs w:val="28"/>
        </w:rPr>
        <w:t>Всего за 10 месяцев 2020 года проведено 30 проверок, в том числе: 8 план</w:t>
      </w:r>
      <w:r w:rsidR="00A46ABD">
        <w:rPr>
          <w:rFonts w:ascii="Times New Roman" w:hAnsi="Times New Roman"/>
          <w:sz w:val="28"/>
          <w:szCs w:val="28"/>
        </w:rPr>
        <w:t>овых и 22 внеплановых проверок.</w:t>
      </w:r>
    </w:p>
    <w:p w14:paraId="4B57B476" w14:textId="77777777" w:rsidR="00A9074A" w:rsidRDefault="4163FFE6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4163FFE6">
        <w:rPr>
          <w:rFonts w:ascii="Times New Roman" w:hAnsi="Times New Roman"/>
          <w:sz w:val="28"/>
          <w:szCs w:val="28"/>
        </w:rPr>
        <w:t>Внеплановые проверки проводились по следующим основаниям:</w:t>
      </w:r>
    </w:p>
    <w:p w14:paraId="7EB2DE8B" w14:textId="77777777" w:rsidR="00A9074A" w:rsidRDefault="4163FFE6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4163FFE6">
        <w:rPr>
          <w:rFonts w:ascii="Times New Roman" w:hAnsi="Times New Roman"/>
          <w:sz w:val="28"/>
          <w:szCs w:val="28"/>
        </w:rPr>
        <w:t>16 – на предмет исполнения ранее выданных предписаний,</w:t>
      </w:r>
    </w:p>
    <w:p w14:paraId="2F1065DF" w14:textId="77777777" w:rsidR="00A9074A" w:rsidRDefault="4163FFE6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4163FFE6">
        <w:rPr>
          <w:rFonts w:ascii="Times New Roman" w:hAnsi="Times New Roman"/>
          <w:sz w:val="28"/>
          <w:szCs w:val="28"/>
        </w:rPr>
        <w:t>1 – на основании поручения Правительства РФ (на ООПТ),</w:t>
      </w:r>
    </w:p>
    <w:p w14:paraId="2320DABB" w14:textId="77777777" w:rsidR="00A9074A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 xml:space="preserve">1 - на предмет выполнения уведомления </w:t>
      </w:r>
      <w:proofErr w:type="spellStart"/>
      <w:r w:rsidRPr="7EA08824">
        <w:rPr>
          <w:rFonts w:ascii="Times New Roman" w:hAnsi="Times New Roman"/>
          <w:sz w:val="28"/>
          <w:szCs w:val="28"/>
        </w:rPr>
        <w:t>Центрнедр</w:t>
      </w:r>
      <w:proofErr w:type="spellEnd"/>
      <w:r w:rsidRPr="7EA08824">
        <w:rPr>
          <w:rFonts w:ascii="Times New Roman" w:hAnsi="Times New Roman"/>
          <w:sz w:val="28"/>
          <w:szCs w:val="28"/>
        </w:rPr>
        <w:t xml:space="preserve"> о допущенных нарушениях и возможном досрочном прекращении права пользования недрами,</w:t>
      </w:r>
    </w:p>
    <w:p w14:paraId="3E73ECAF" w14:textId="77777777" w:rsidR="00A9074A" w:rsidRDefault="4163FFE6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4163FFE6">
        <w:rPr>
          <w:rFonts w:ascii="Times New Roman" w:hAnsi="Times New Roman"/>
          <w:sz w:val="28"/>
          <w:szCs w:val="28"/>
        </w:rPr>
        <w:t>4 – на предмет возможности выдачи заключения органа федерального государственного экологического надзора в отношении объекта капитального строительства.</w:t>
      </w:r>
    </w:p>
    <w:p w14:paraId="004BCA9F" w14:textId="77777777" w:rsidR="00512A7A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>Также проведено 78 рейдовых мероприятия и 16 административных расследований.</w:t>
      </w:r>
    </w:p>
    <w:p w14:paraId="76A8EF74" w14:textId="77777777" w:rsidR="00512A7A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>По итогам вышеуказанных контрольно-надзорных мероприятий выявлено 85 нарушений.</w:t>
      </w:r>
    </w:p>
    <w:p w14:paraId="49F73019" w14:textId="77777777" w:rsidR="00CF553F" w:rsidRDefault="00CF553F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Выдано 24 предписания</w:t>
      </w:r>
      <w:r w:rsidRPr="00CF553F">
        <w:rPr>
          <w:rFonts w:ascii="Times New Roman" w:hAnsi="Times New Roman"/>
          <w:sz w:val="28"/>
          <w:szCs w:val="28"/>
        </w:rPr>
        <w:t xml:space="preserve"> об устранении нарушений законодательства в сфере природопользо</w:t>
      </w:r>
      <w:r w:rsidR="00C43720">
        <w:rPr>
          <w:rFonts w:ascii="Times New Roman" w:hAnsi="Times New Roman"/>
          <w:sz w:val="28"/>
          <w:szCs w:val="28"/>
        </w:rPr>
        <w:t>вания и охраны окружающей среды.</w:t>
      </w:r>
    </w:p>
    <w:p w14:paraId="2AFD1A28" w14:textId="77777777" w:rsidR="7EA08824" w:rsidRPr="00080F5B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AE139A9" w14:textId="77777777" w:rsidR="7EA08824" w:rsidRDefault="7EA08824" w:rsidP="00A244BC">
      <w:pPr>
        <w:pStyle w:val="a3"/>
        <w:widowControl w:val="0"/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7EA08824">
        <w:rPr>
          <w:rFonts w:ascii="Times New Roman" w:hAnsi="Times New Roman"/>
          <w:b/>
          <w:bCs/>
          <w:sz w:val="28"/>
          <w:szCs w:val="28"/>
        </w:rPr>
        <w:t>Информация о наложенных по результатам указанных мероприятий мерах административной и иной публично-правовой ответственности</w:t>
      </w:r>
    </w:p>
    <w:p w14:paraId="3D6DED06" w14:textId="77777777" w:rsidR="7EA08824" w:rsidRPr="00741A25" w:rsidRDefault="7EA08824" w:rsidP="00A244BC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D2AD6D9" w14:textId="77777777" w:rsidR="00512A7A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>По итогам контрольно-надзорных мероприятий за 10 месяцев 2020 года вынесено 113 постановлений о назначении административного наказания, из них:</w:t>
      </w:r>
    </w:p>
    <w:p w14:paraId="2F810A3D" w14:textId="77777777" w:rsidR="00512A7A" w:rsidRDefault="7EA08824" w:rsidP="00A244BC">
      <w:pPr>
        <w:pStyle w:val="a3"/>
        <w:widowControl w:val="0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 xml:space="preserve">90 административных штрафов на общую сумму 4629,0 тыс. рублей, </w:t>
      </w:r>
    </w:p>
    <w:p w14:paraId="0472A3F9" w14:textId="77777777" w:rsidR="00512A7A" w:rsidRDefault="7EA08824" w:rsidP="00A244BC">
      <w:pPr>
        <w:pStyle w:val="a3"/>
        <w:widowControl w:val="0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>23 предупреждения.</w:t>
      </w:r>
    </w:p>
    <w:p w14:paraId="3D094AD1" w14:textId="77777777" w:rsidR="00512A7A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>За 10 месяцев 2020 года оплачено 47 административных штрафов на общую сумм</w:t>
      </w:r>
      <w:r w:rsidR="00F95F40">
        <w:rPr>
          <w:rFonts w:ascii="Times New Roman" w:hAnsi="Times New Roman"/>
          <w:sz w:val="28"/>
          <w:szCs w:val="28"/>
        </w:rPr>
        <w:t>у 2281,0 тыс. р</w:t>
      </w:r>
      <w:r w:rsidRPr="7EA08824">
        <w:rPr>
          <w:rFonts w:ascii="Times New Roman" w:hAnsi="Times New Roman"/>
          <w:sz w:val="28"/>
          <w:szCs w:val="28"/>
        </w:rPr>
        <w:t>ублей.</w:t>
      </w:r>
    </w:p>
    <w:p w14:paraId="28881915" w14:textId="77777777" w:rsidR="7EA08824" w:rsidRDefault="00A244BC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Внесено 42 представления </w:t>
      </w:r>
      <w:r w:rsidRPr="00A244BC">
        <w:rPr>
          <w:rFonts w:ascii="Times New Roman" w:hAnsi="Times New Roman"/>
          <w:sz w:val="28"/>
          <w:szCs w:val="28"/>
        </w:rPr>
        <w:t>об устранении причин и условий, способствовавших совершению административного правонарушения</w:t>
      </w:r>
      <w:r>
        <w:rPr>
          <w:rFonts w:ascii="Times New Roman" w:hAnsi="Times New Roman"/>
          <w:sz w:val="28"/>
          <w:szCs w:val="28"/>
        </w:rPr>
        <w:t>.</w:t>
      </w:r>
    </w:p>
    <w:p w14:paraId="0836F65A" w14:textId="77777777" w:rsidR="00F95F40" w:rsidRDefault="00F95F40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10 месяцев 2020 года предъявлено 9 расчетов вреда</w:t>
      </w:r>
      <w:r w:rsidR="00437A43">
        <w:rPr>
          <w:rFonts w:ascii="Times New Roman" w:hAnsi="Times New Roman"/>
          <w:sz w:val="28"/>
          <w:szCs w:val="28"/>
        </w:rPr>
        <w:t>, причиненного</w:t>
      </w:r>
      <w:r>
        <w:rPr>
          <w:rFonts w:ascii="Times New Roman" w:hAnsi="Times New Roman"/>
          <w:sz w:val="28"/>
          <w:szCs w:val="28"/>
        </w:rPr>
        <w:t xml:space="preserve"> компонентам окружающей сред</w:t>
      </w:r>
      <w:r w:rsidR="003A3631">
        <w:rPr>
          <w:rFonts w:ascii="Times New Roman" w:hAnsi="Times New Roman"/>
          <w:sz w:val="28"/>
          <w:szCs w:val="28"/>
        </w:rPr>
        <w:t>ы</w:t>
      </w:r>
      <w:r w:rsidR="00437A43">
        <w:rPr>
          <w:rFonts w:ascii="Times New Roman" w:hAnsi="Times New Roman"/>
          <w:sz w:val="28"/>
          <w:szCs w:val="28"/>
        </w:rPr>
        <w:t>,</w:t>
      </w:r>
      <w:r w:rsidR="003A3631">
        <w:rPr>
          <w:rFonts w:ascii="Times New Roman" w:hAnsi="Times New Roman"/>
          <w:sz w:val="28"/>
          <w:szCs w:val="28"/>
        </w:rPr>
        <w:t xml:space="preserve"> на общую сумму 2846,98 тыс. руб.</w:t>
      </w:r>
      <w:r w:rsidR="00E1024D">
        <w:rPr>
          <w:rFonts w:ascii="Times New Roman" w:hAnsi="Times New Roman"/>
          <w:sz w:val="28"/>
          <w:szCs w:val="28"/>
        </w:rPr>
        <w:t>, добровольно возмещено 185,</w:t>
      </w:r>
      <w:r w:rsidR="00706C02">
        <w:rPr>
          <w:rFonts w:ascii="Times New Roman" w:hAnsi="Times New Roman"/>
          <w:sz w:val="28"/>
          <w:szCs w:val="28"/>
        </w:rPr>
        <w:t>84 тыс. руб.</w:t>
      </w:r>
    </w:p>
    <w:p w14:paraId="3F958541" w14:textId="77777777" w:rsidR="00706C02" w:rsidRDefault="00706C02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25EF0B" w14:textId="77777777"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>В органы судебной власти для рассмотрения по подведомственности за 10 месяцев 2020 года передано 21 дело об административном правонарушении.</w:t>
      </w:r>
    </w:p>
    <w:p w14:paraId="5850706E" w14:textId="77777777" w:rsidR="00982C02" w:rsidRDefault="00982C02" w:rsidP="00A244BC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приоритетной программы «Реформа контрольной и надзорной деятельности» проводится работа по профилактике нарушений обязательных требований, а именно:</w:t>
      </w:r>
    </w:p>
    <w:p w14:paraId="20F61A55" w14:textId="77777777" w:rsidR="00023C12" w:rsidRDefault="7EA08824" w:rsidP="00A244BC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>- отделом государственного экологического надзора по Орловской области за 10 месяцев 2020 года в адрес юридических лиц и индивидуальных предпринимателей направлено 230 предостережений о недопустимости нарушений обязательных требований;</w:t>
      </w:r>
    </w:p>
    <w:p w14:paraId="1C5CF7B6" w14:textId="77777777" w:rsidR="00982C02" w:rsidRDefault="00023C12" w:rsidP="00A244BC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оказывается систематическая консультационная помощь природопользователям.</w:t>
      </w:r>
    </w:p>
    <w:p w14:paraId="3597C9E0" w14:textId="77777777" w:rsidR="00A7209B" w:rsidRDefault="00A7209B" w:rsidP="00A244BC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5AC9A8" w14:textId="09DF5B35" w:rsidR="002B7C74" w:rsidRPr="00DB1D47" w:rsidRDefault="002B7C74" w:rsidP="00E64529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</w:p>
    <w:sectPr w:rsidR="002B7C74" w:rsidRPr="00DB1D47" w:rsidSect="00DB1D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b/>
      </w:rPr>
    </w:lvl>
  </w:abstractNum>
  <w:abstractNum w:abstractNumId="4" w15:restartNumberingAfterBreak="0">
    <w:nsid w:val="10A967DB"/>
    <w:multiLevelType w:val="multilevel"/>
    <w:tmpl w:val="3538374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E0C2A"/>
    <w:multiLevelType w:val="hybridMultilevel"/>
    <w:tmpl w:val="BD560EB8"/>
    <w:lvl w:ilvl="0" w:tplc="08A88B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164E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4A9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0E5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2F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48A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22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0B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181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B59B0"/>
    <w:multiLevelType w:val="hybridMultilevel"/>
    <w:tmpl w:val="0E0A0AAE"/>
    <w:lvl w:ilvl="0" w:tplc="F4E225C6">
      <w:start w:val="1"/>
      <w:numFmt w:val="upperRoman"/>
      <w:lvlText w:val="%1."/>
      <w:lvlJc w:val="left"/>
      <w:pPr>
        <w:ind w:left="720" w:hanging="360"/>
      </w:pPr>
    </w:lvl>
    <w:lvl w:ilvl="1" w:tplc="6A54A54E">
      <w:start w:val="1"/>
      <w:numFmt w:val="lowerLetter"/>
      <w:lvlText w:val="%2."/>
      <w:lvlJc w:val="left"/>
      <w:pPr>
        <w:ind w:left="1440" w:hanging="360"/>
      </w:pPr>
    </w:lvl>
    <w:lvl w:ilvl="2" w:tplc="1092FECE">
      <w:start w:val="1"/>
      <w:numFmt w:val="lowerRoman"/>
      <w:lvlText w:val="%3."/>
      <w:lvlJc w:val="right"/>
      <w:pPr>
        <w:ind w:left="2160" w:hanging="180"/>
      </w:pPr>
    </w:lvl>
    <w:lvl w:ilvl="3" w:tplc="D7BA8830">
      <w:start w:val="1"/>
      <w:numFmt w:val="decimal"/>
      <w:lvlText w:val="%4."/>
      <w:lvlJc w:val="left"/>
      <w:pPr>
        <w:ind w:left="2880" w:hanging="360"/>
      </w:pPr>
    </w:lvl>
    <w:lvl w:ilvl="4" w:tplc="0E8A27FC">
      <w:start w:val="1"/>
      <w:numFmt w:val="lowerLetter"/>
      <w:lvlText w:val="%5."/>
      <w:lvlJc w:val="left"/>
      <w:pPr>
        <w:ind w:left="3600" w:hanging="360"/>
      </w:pPr>
    </w:lvl>
    <w:lvl w:ilvl="5" w:tplc="57142A7E">
      <w:start w:val="1"/>
      <w:numFmt w:val="lowerRoman"/>
      <w:lvlText w:val="%6."/>
      <w:lvlJc w:val="right"/>
      <w:pPr>
        <w:ind w:left="4320" w:hanging="180"/>
      </w:pPr>
    </w:lvl>
    <w:lvl w:ilvl="6" w:tplc="82F6BF20">
      <w:start w:val="1"/>
      <w:numFmt w:val="decimal"/>
      <w:lvlText w:val="%7."/>
      <w:lvlJc w:val="left"/>
      <w:pPr>
        <w:ind w:left="5040" w:hanging="360"/>
      </w:pPr>
    </w:lvl>
    <w:lvl w:ilvl="7" w:tplc="B5040F46">
      <w:start w:val="1"/>
      <w:numFmt w:val="lowerLetter"/>
      <w:lvlText w:val="%8."/>
      <w:lvlJc w:val="left"/>
      <w:pPr>
        <w:ind w:left="5760" w:hanging="360"/>
      </w:pPr>
    </w:lvl>
    <w:lvl w:ilvl="8" w:tplc="49B2922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41636"/>
    <w:multiLevelType w:val="hybridMultilevel"/>
    <w:tmpl w:val="A98AA588"/>
    <w:lvl w:ilvl="0" w:tplc="CC9C3C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001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ED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08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45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D28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2B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AE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4E9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D47"/>
    <w:rsid w:val="00002C40"/>
    <w:rsid w:val="00023C12"/>
    <w:rsid w:val="00080F5B"/>
    <w:rsid w:val="000B1C9B"/>
    <w:rsid w:val="000B363E"/>
    <w:rsid w:val="000C79C0"/>
    <w:rsid w:val="000D0254"/>
    <w:rsid w:val="000E4DEB"/>
    <w:rsid w:val="000F4CE1"/>
    <w:rsid w:val="00101B99"/>
    <w:rsid w:val="00107650"/>
    <w:rsid w:val="00112585"/>
    <w:rsid w:val="001139A9"/>
    <w:rsid w:val="00170EEE"/>
    <w:rsid w:val="00184334"/>
    <w:rsid w:val="00193071"/>
    <w:rsid w:val="001B74F7"/>
    <w:rsid w:val="001D5926"/>
    <w:rsid w:val="001F5A63"/>
    <w:rsid w:val="002132AA"/>
    <w:rsid w:val="00236755"/>
    <w:rsid w:val="00263FB3"/>
    <w:rsid w:val="002A5B79"/>
    <w:rsid w:val="002B7C74"/>
    <w:rsid w:val="00332969"/>
    <w:rsid w:val="00392C89"/>
    <w:rsid w:val="003A3631"/>
    <w:rsid w:val="003A46E3"/>
    <w:rsid w:val="003C2005"/>
    <w:rsid w:val="003F5DAF"/>
    <w:rsid w:val="004165D3"/>
    <w:rsid w:val="00437A43"/>
    <w:rsid w:val="00474B26"/>
    <w:rsid w:val="0048154A"/>
    <w:rsid w:val="004B209D"/>
    <w:rsid w:val="004B5A3C"/>
    <w:rsid w:val="004E5ADC"/>
    <w:rsid w:val="00507B54"/>
    <w:rsid w:val="00512A7A"/>
    <w:rsid w:val="00531FC5"/>
    <w:rsid w:val="00597C65"/>
    <w:rsid w:val="00663797"/>
    <w:rsid w:val="0068017E"/>
    <w:rsid w:val="006F052C"/>
    <w:rsid w:val="00706C02"/>
    <w:rsid w:val="00733ED5"/>
    <w:rsid w:val="0073718B"/>
    <w:rsid w:val="00741A25"/>
    <w:rsid w:val="00797E21"/>
    <w:rsid w:val="007F34E2"/>
    <w:rsid w:val="008850E5"/>
    <w:rsid w:val="0089560C"/>
    <w:rsid w:val="008973BE"/>
    <w:rsid w:val="008A16EE"/>
    <w:rsid w:val="008C585C"/>
    <w:rsid w:val="008D3DF8"/>
    <w:rsid w:val="00902A93"/>
    <w:rsid w:val="009471BC"/>
    <w:rsid w:val="00982C02"/>
    <w:rsid w:val="009A6D52"/>
    <w:rsid w:val="009C2D97"/>
    <w:rsid w:val="00A159D1"/>
    <w:rsid w:val="00A244BC"/>
    <w:rsid w:val="00A46ABD"/>
    <w:rsid w:val="00A47825"/>
    <w:rsid w:val="00A7209B"/>
    <w:rsid w:val="00A9074A"/>
    <w:rsid w:val="00AA0C67"/>
    <w:rsid w:val="00B43342"/>
    <w:rsid w:val="00BF1472"/>
    <w:rsid w:val="00C14B20"/>
    <w:rsid w:val="00C155F6"/>
    <w:rsid w:val="00C240AD"/>
    <w:rsid w:val="00C43720"/>
    <w:rsid w:val="00C46EBA"/>
    <w:rsid w:val="00CC2DA7"/>
    <w:rsid w:val="00CF553F"/>
    <w:rsid w:val="00D84CFB"/>
    <w:rsid w:val="00D86985"/>
    <w:rsid w:val="00DB1D47"/>
    <w:rsid w:val="00DF447B"/>
    <w:rsid w:val="00E1024D"/>
    <w:rsid w:val="00E64529"/>
    <w:rsid w:val="00E65723"/>
    <w:rsid w:val="00F9126B"/>
    <w:rsid w:val="00F95F40"/>
    <w:rsid w:val="00FF733B"/>
    <w:rsid w:val="4163FFE6"/>
    <w:rsid w:val="7EA08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8455"/>
  <w15:docId w15:val="{F4D7797F-5FE0-44F1-A9C2-5FA0F5AC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D47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663797"/>
    <w:pPr>
      <w:keepNext/>
      <w:numPr>
        <w:numId w:val="5"/>
      </w:numPr>
      <w:spacing w:before="240" w:after="60" w:line="252" w:lineRule="auto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797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qFormat/>
    <w:rsid w:val="00663797"/>
    <w:pPr>
      <w:ind w:left="720"/>
    </w:pPr>
    <w:rPr>
      <w:rFonts w:eastAsia="Calibri" w:cs="Calibri"/>
    </w:rPr>
  </w:style>
  <w:style w:type="paragraph" w:customStyle="1" w:styleId="11">
    <w:name w:val="Абзац списка1"/>
    <w:basedOn w:val="a"/>
    <w:rsid w:val="00663797"/>
    <w:pPr>
      <w:ind w:left="720"/>
    </w:pPr>
    <w:rPr>
      <w:rFonts w:eastAsia="Calibri" w:cs="Calibri"/>
    </w:rPr>
  </w:style>
  <w:style w:type="character" w:styleId="a4">
    <w:name w:val="Hyperlink"/>
    <w:basedOn w:val="a0"/>
    <w:rsid w:val="00101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24</cp:revision>
  <cp:lastPrinted>2021-04-01T12:12:00Z</cp:lastPrinted>
  <dcterms:created xsi:type="dcterms:W3CDTF">2020-06-21T16:50:00Z</dcterms:created>
  <dcterms:modified xsi:type="dcterms:W3CDTF">2021-04-13T12:29:00Z</dcterms:modified>
</cp:coreProperties>
</file>